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B34C8" w14:textId="77777777" w:rsidR="003B02EE" w:rsidRPr="00906BEE" w:rsidRDefault="003B02EE" w:rsidP="003B02EE">
      <w:pPr>
        <w:pStyle w:val="3"/>
        <w:spacing w:before="240"/>
        <w:ind w:right="-142"/>
      </w:pPr>
      <w:r>
        <w:t>Н</w:t>
      </w:r>
      <w:r w:rsidRPr="002556B8">
        <w:t xml:space="preserve">астраиваемые </w:t>
      </w:r>
      <w:r>
        <w:t xml:space="preserve">ЭМИТЕНТОМ </w:t>
      </w:r>
      <w:r w:rsidRPr="002556B8">
        <w:t xml:space="preserve">параметры программы </w:t>
      </w:r>
    </w:p>
    <w:p w14:paraId="5214CCE6" w14:textId="77777777"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>наименование эмитента</w:t>
      </w:r>
    </w:p>
    <w:p w14:paraId="03057125" w14:textId="77777777"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>серия программы</w:t>
      </w:r>
    </w:p>
    <w:p w14:paraId="02D246E7" w14:textId="77777777"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>максимальный срок погашения</w:t>
      </w:r>
    </w:p>
    <w:p w14:paraId="57F6B0B5" w14:textId="77777777"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>максимальная</w:t>
      </w:r>
      <w:r w:rsidRPr="00C77BAE">
        <w:rPr>
          <w:sz w:val="18"/>
          <w:lang w:bidi="ru-RU"/>
        </w:rPr>
        <w:t xml:space="preserve"> </w:t>
      </w:r>
      <w:r w:rsidRPr="00C77BAE">
        <w:rPr>
          <w:rFonts w:asciiTheme="majorHAnsi" w:eastAsiaTheme="majorEastAsia" w:hAnsiTheme="majorHAnsi" w:cstheme="majorBidi"/>
          <w:iCs/>
          <w:sz w:val="18"/>
        </w:rPr>
        <w:t>сумма номинальных стоимостей (объем программы)</w:t>
      </w:r>
    </w:p>
    <w:p w14:paraId="2DE607B6" w14:textId="77777777"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>реквизиты решения уполномоченного органа об утверждении программы</w:t>
      </w:r>
    </w:p>
    <w:p w14:paraId="6CC29BE5" w14:textId="77777777"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>место нахождения эмитента</w:t>
      </w:r>
    </w:p>
    <w:p w14:paraId="00E384AD" w14:textId="77777777"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 xml:space="preserve">сведения о </w:t>
      </w:r>
      <w:r>
        <w:rPr>
          <w:rFonts w:asciiTheme="majorHAnsi" w:eastAsiaTheme="majorEastAsia" w:hAnsiTheme="majorHAnsi" w:cstheme="majorBidi"/>
          <w:iCs/>
          <w:sz w:val="18"/>
        </w:rPr>
        <w:t xml:space="preserve">лице, </w:t>
      </w:r>
      <w:r w:rsidRPr="00C77BAE">
        <w:rPr>
          <w:rFonts w:asciiTheme="majorHAnsi" w:eastAsiaTheme="majorEastAsia" w:hAnsiTheme="majorHAnsi" w:cstheme="majorBidi"/>
          <w:iCs/>
          <w:sz w:val="18"/>
        </w:rPr>
        <w:t>подпис</w:t>
      </w:r>
      <w:r>
        <w:rPr>
          <w:rFonts w:asciiTheme="majorHAnsi" w:eastAsiaTheme="majorEastAsia" w:hAnsiTheme="majorHAnsi" w:cstheme="majorBidi"/>
          <w:iCs/>
          <w:sz w:val="18"/>
        </w:rPr>
        <w:t>ывающем</w:t>
      </w:r>
      <w:r w:rsidRPr="00C77BAE">
        <w:rPr>
          <w:rFonts w:asciiTheme="majorHAnsi" w:eastAsiaTheme="majorEastAsia" w:hAnsiTheme="majorHAnsi" w:cstheme="majorBidi"/>
          <w:iCs/>
          <w:sz w:val="18"/>
        </w:rPr>
        <w:t xml:space="preserve"> программ</w:t>
      </w:r>
      <w:r>
        <w:rPr>
          <w:rFonts w:asciiTheme="majorHAnsi" w:eastAsiaTheme="majorEastAsia" w:hAnsiTheme="majorHAnsi" w:cstheme="majorBidi"/>
          <w:iCs/>
          <w:sz w:val="18"/>
        </w:rPr>
        <w:t>у</w:t>
      </w:r>
      <w:r w:rsidR="001E3503">
        <w:rPr>
          <w:rFonts w:asciiTheme="majorHAnsi" w:eastAsiaTheme="majorEastAsia" w:hAnsiTheme="majorHAnsi" w:cstheme="majorBidi"/>
          <w:iCs/>
          <w:sz w:val="18"/>
        </w:rPr>
        <w:t xml:space="preserve"> (ФИО, должность, основание)</w:t>
      </w:r>
    </w:p>
    <w:p w14:paraId="3365844A" w14:textId="77777777" w:rsidR="00637560" w:rsidRPr="000E42B6" w:rsidRDefault="00C77BAE" w:rsidP="00C77BAE">
      <w:pPr>
        <w:pStyle w:val="3"/>
        <w:spacing w:before="120"/>
        <w:ind w:right="-142"/>
        <w:rPr>
          <w:lang w:bidi="ru-RU"/>
        </w:rPr>
      </w:pPr>
      <w:r>
        <w:rPr>
          <w:lang w:bidi="ru-RU"/>
        </w:rPr>
        <w:t>ШАБЛОННЫЕ</w:t>
      </w:r>
      <w:r w:rsidR="00637560" w:rsidRPr="000E42B6">
        <w:rPr>
          <w:lang w:bidi="ru-RU"/>
        </w:rPr>
        <w:t xml:space="preserve"> </w:t>
      </w:r>
      <w:r w:rsidR="00637560">
        <w:rPr>
          <w:lang w:bidi="ru-RU"/>
        </w:rPr>
        <w:t xml:space="preserve">характеристики </w:t>
      </w:r>
      <w:r w:rsidR="009924C7">
        <w:rPr>
          <w:lang w:bidi="ru-RU"/>
        </w:rPr>
        <w:t xml:space="preserve">ПРОГРАММЫ 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2830"/>
        <w:gridCol w:w="6663"/>
      </w:tblGrid>
      <w:tr w:rsidR="009924C7" w:rsidRPr="00C77BAE" w14:paraId="17612A05" w14:textId="77777777" w:rsidTr="00774B58">
        <w:tc>
          <w:tcPr>
            <w:tcW w:w="2830" w:type="dxa"/>
          </w:tcPr>
          <w:p w14:paraId="5890E180" w14:textId="77777777"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программа</w:t>
            </w:r>
          </w:p>
        </w:tc>
        <w:tc>
          <w:tcPr>
            <w:tcW w:w="6663" w:type="dxa"/>
          </w:tcPr>
          <w:p w14:paraId="4927CFF1" w14:textId="15A84438"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программа биржевых облигаций</w:t>
            </w:r>
          </w:p>
        </w:tc>
      </w:tr>
      <w:tr w:rsidR="009924C7" w:rsidRPr="00C77BAE" w14:paraId="441F9E8A" w14:textId="77777777" w:rsidTr="00774B58">
        <w:tc>
          <w:tcPr>
            <w:tcW w:w="2830" w:type="dxa"/>
          </w:tcPr>
          <w:p w14:paraId="0595B0A7" w14:textId="77777777"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вид облигаций</w:t>
            </w:r>
          </w:p>
        </w:tc>
        <w:tc>
          <w:tcPr>
            <w:tcW w:w="6663" w:type="dxa"/>
          </w:tcPr>
          <w:p w14:paraId="5AA697EF" w14:textId="734DCA8B"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биржевые облигации, неконвертируемые, бездокументарные</w:t>
            </w:r>
          </w:p>
        </w:tc>
      </w:tr>
      <w:tr w:rsidR="009924C7" w:rsidRPr="00C77BAE" w14:paraId="354DAB3D" w14:textId="77777777" w:rsidTr="00774B58">
        <w:tc>
          <w:tcPr>
            <w:tcW w:w="2830" w:type="dxa"/>
          </w:tcPr>
          <w:p w14:paraId="0C11F17F" w14:textId="77777777"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номинал облигаций</w:t>
            </w:r>
          </w:p>
        </w:tc>
        <w:tc>
          <w:tcPr>
            <w:tcW w:w="6663" w:type="dxa"/>
          </w:tcPr>
          <w:p w14:paraId="276A550D" w14:textId="0E8221AA"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не определяется, </w:t>
            </w:r>
            <w:r w:rsidR="0066049F" w:rsidRPr="0066049F">
              <w:rPr>
                <w:rFonts w:asciiTheme="majorHAnsi" w:eastAsiaTheme="majorEastAsia" w:hAnsiTheme="majorHAnsi" w:cstheme="majorBidi"/>
                <w:iCs/>
                <w:sz w:val="20"/>
              </w:rPr>
              <w:t>т.е. устанавлива</w:t>
            </w:r>
            <w:r w:rsidR="005B27B7">
              <w:rPr>
                <w:rFonts w:asciiTheme="majorHAnsi" w:eastAsiaTheme="majorEastAsia" w:hAnsiTheme="majorHAnsi" w:cstheme="majorBidi"/>
                <w:iCs/>
                <w:sz w:val="20"/>
              </w:rPr>
              <w:t>е</w:t>
            </w:r>
            <w:r w:rsidR="0066049F" w:rsidRPr="0066049F">
              <w:rPr>
                <w:rFonts w:asciiTheme="majorHAnsi" w:eastAsiaTheme="majorEastAsia" w:hAnsiTheme="majorHAnsi" w:cstheme="majorBidi"/>
                <w:iCs/>
                <w:sz w:val="20"/>
              </w:rPr>
              <w:t>тся в решении о выпуске для отдельных выпусков</w:t>
            </w:r>
            <w:r w:rsidR="0066049F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, при этом 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индексация </w:t>
            </w:r>
            <w:r w:rsidR="005B27B7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программой 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не </w:t>
            </w:r>
            <w:r w:rsidR="005B27B7">
              <w:rPr>
                <w:rFonts w:asciiTheme="majorHAnsi" w:eastAsiaTheme="majorEastAsia" w:hAnsiTheme="majorHAnsi" w:cstheme="majorBidi"/>
                <w:iCs/>
                <w:sz w:val="20"/>
              </w:rPr>
              <w:t>определяется (может быть предусмотрена решением о выпуске)</w:t>
            </w:r>
          </w:p>
        </w:tc>
      </w:tr>
      <w:tr w:rsidR="009924C7" w:rsidRPr="00C77BAE" w14:paraId="77BC6946" w14:textId="77777777" w:rsidTr="00774B58">
        <w:tc>
          <w:tcPr>
            <w:tcW w:w="2830" w:type="dxa"/>
          </w:tcPr>
          <w:p w14:paraId="7FAF22FD" w14:textId="77777777"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валюта номинала</w:t>
            </w:r>
          </w:p>
        </w:tc>
        <w:tc>
          <w:tcPr>
            <w:tcW w:w="6663" w:type="dxa"/>
          </w:tcPr>
          <w:p w14:paraId="7CDE5053" w14:textId="77777777"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мультивалютная (российский рубль или иностранная валюта)</w:t>
            </w:r>
          </w:p>
        </w:tc>
      </w:tr>
      <w:tr w:rsidR="009924C7" w:rsidRPr="00C77BAE" w14:paraId="769CA0AF" w14:textId="77777777" w:rsidTr="00774B58">
        <w:tc>
          <w:tcPr>
            <w:tcW w:w="2830" w:type="dxa"/>
          </w:tcPr>
          <w:p w14:paraId="121F9CA4" w14:textId="77777777"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срок действия программы</w:t>
            </w:r>
          </w:p>
        </w:tc>
        <w:tc>
          <w:tcPr>
            <w:tcW w:w="6663" w:type="dxa"/>
          </w:tcPr>
          <w:p w14:paraId="61C8FCF1" w14:textId="77777777"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бессрочная</w:t>
            </w:r>
          </w:p>
        </w:tc>
      </w:tr>
      <w:tr w:rsidR="006A4E8C" w:rsidRPr="00C77BAE" w14:paraId="72DF4BC7" w14:textId="77777777" w:rsidTr="00774B58">
        <w:tc>
          <w:tcPr>
            <w:tcW w:w="2830" w:type="dxa"/>
          </w:tcPr>
          <w:p w14:paraId="71CD526E" w14:textId="77777777" w:rsidR="006A4E8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права владельцев</w:t>
            </w:r>
          </w:p>
        </w:tc>
        <w:tc>
          <w:tcPr>
            <w:tcW w:w="6663" w:type="dxa"/>
          </w:tcPr>
          <w:p w14:paraId="6CE045B6" w14:textId="77777777" w:rsidR="006A4E8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определяются, т.е. устанавливаются в решении о выпуске для отдельных выпусков</w:t>
            </w:r>
          </w:p>
        </w:tc>
      </w:tr>
      <w:tr w:rsidR="00B148AC" w:rsidRPr="00C77BAE" w14:paraId="53B90AD0" w14:textId="77777777" w:rsidTr="00774B58">
        <w:tc>
          <w:tcPr>
            <w:tcW w:w="2830" w:type="dxa"/>
          </w:tcPr>
          <w:p w14:paraId="7B6B0A73" w14:textId="77777777"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способ размещения</w:t>
            </w:r>
          </w:p>
        </w:tc>
        <w:tc>
          <w:tcPr>
            <w:tcW w:w="6663" w:type="dxa"/>
          </w:tcPr>
          <w:p w14:paraId="547CD30A" w14:textId="77777777"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открытая подписка</w:t>
            </w:r>
          </w:p>
        </w:tc>
      </w:tr>
      <w:tr w:rsidR="00B148AC" w:rsidRPr="00C77BAE" w14:paraId="58070205" w14:textId="77777777" w:rsidTr="00774B58">
        <w:tc>
          <w:tcPr>
            <w:tcW w:w="2830" w:type="dxa"/>
          </w:tcPr>
          <w:p w14:paraId="7CE0A1C7" w14:textId="77777777"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место размещения</w:t>
            </w:r>
          </w:p>
        </w:tc>
        <w:tc>
          <w:tcPr>
            <w:tcW w:w="6663" w:type="dxa"/>
          </w:tcPr>
          <w:p w14:paraId="50AB55CA" w14:textId="31523001"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организованные торги </w:t>
            </w:r>
            <w:r w:rsidR="00690BA7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ПАО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 </w:t>
            </w:r>
            <w:r w:rsidR="00690BA7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М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осковская </w:t>
            </w:r>
            <w:r w:rsidR="00690BA7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Б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иржа</w:t>
            </w:r>
          </w:p>
        </w:tc>
      </w:tr>
      <w:tr w:rsidR="00B148AC" w:rsidRPr="00C77BAE" w14:paraId="309F4995" w14:textId="77777777" w:rsidTr="00774B58">
        <w:tc>
          <w:tcPr>
            <w:tcW w:w="2830" w:type="dxa"/>
          </w:tcPr>
          <w:p w14:paraId="1FE55947" w14:textId="77777777"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валюта размещения</w:t>
            </w:r>
          </w:p>
        </w:tc>
        <w:tc>
          <w:tcPr>
            <w:tcW w:w="6663" w:type="dxa"/>
          </w:tcPr>
          <w:p w14:paraId="3C9EBC01" w14:textId="77777777"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программой не определяется, т.е. устанавливается в </w:t>
            </w:r>
            <w:r w:rsidR="00690BA7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ДСУР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 для отдельных выпусков</w:t>
            </w:r>
          </w:p>
        </w:tc>
      </w:tr>
      <w:tr w:rsidR="00B148AC" w:rsidRPr="00C77BAE" w14:paraId="083F6186" w14:textId="77777777" w:rsidTr="00774B58">
        <w:tc>
          <w:tcPr>
            <w:tcW w:w="2830" w:type="dxa"/>
          </w:tcPr>
          <w:p w14:paraId="69D69D16" w14:textId="77777777"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организаторы размещения</w:t>
            </w:r>
          </w:p>
        </w:tc>
        <w:tc>
          <w:tcPr>
            <w:tcW w:w="6663" w:type="dxa"/>
          </w:tcPr>
          <w:p w14:paraId="69554B87" w14:textId="77777777"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программой не определяется, т.е. устанавливается в </w:t>
            </w:r>
            <w:r w:rsidR="00690BA7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ДСУР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 для отдельных выпусков</w:t>
            </w:r>
          </w:p>
        </w:tc>
      </w:tr>
      <w:tr w:rsidR="009F5E5C" w:rsidRPr="00C77BAE" w14:paraId="0C7973EC" w14:textId="77777777" w:rsidTr="00774B58">
        <w:tc>
          <w:tcPr>
            <w:tcW w:w="2830" w:type="dxa"/>
          </w:tcPr>
          <w:p w14:paraId="028CFF3D" w14:textId="77777777" w:rsidR="009F5E5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условия размещения</w:t>
            </w:r>
          </w:p>
        </w:tc>
        <w:tc>
          <w:tcPr>
            <w:tcW w:w="6663" w:type="dxa"/>
          </w:tcPr>
          <w:p w14:paraId="76288B6B" w14:textId="77777777" w:rsidR="009F5E5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определяются, но опционально прописан порядок заключения предварительных договоров</w:t>
            </w:r>
            <w:r w:rsidR="0066049F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 (в целях возможности собирать книгу до регистрации выпуска)</w:t>
            </w:r>
          </w:p>
        </w:tc>
      </w:tr>
      <w:tr w:rsidR="00B148AC" w:rsidRPr="00C77BAE" w14:paraId="480BDBC0" w14:textId="77777777" w:rsidTr="00774B58">
        <w:tc>
          <w:tcPr>
            <w:tcW w:w="2830" w:type="dxa"/>
          </w:tcPr>
          <w:p w14:paraId="2A60EC71" w14:textId="77777777"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доход</w:t>
            </w:r>
          </w:p>
        </w:tc>
        <w:tc>
          <w:tcPr>
            <w:tcW w:w="6663" w:type="dxa"/>
          </w:tcPr>
          <w:p w14:paraId="635B7E5F" w14:textId="149F0ACA"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размер дохода программой не определяется</w:t>
            </w:r>
            <w:r w:rsidR="000D7574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, </w:t>
            </w:r>
            <w:r w:rsidR="000D7574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т.е. устанавлива</w:t>
            </w:r>
            <w:r w:rsidR="005B27B7">
              <w:rPr>
                <w:rFonts w:asciiTheme="majorHAnsi" w:eastAsiaTheme="majorEastAsia" w:hAnsiTheme="majorHAnsi" w:cstheme="majorBidi"/>
                <w:iCs/>
                <w:sz w:val="20"/>
              </w:rPr>
              <w:t>е</w:t>
            </w:r>
            <w:r w:rsidR="000D7574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тся в решении о выпуске</w:t>
            </w:r>
            <w:r w:rsidR="0066049F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 (предполагается возможность размещения как купонных, так и бескупонных облигаций)</w:t>
            </w:r>
          </w:p>
        </w:tc>
      </w:tr>
      <w:tr w:rsidR="00B148AC" w:rsidRPr="00C77BAE" w14:paraId="3E5A57BC" w14:textId="77777777" w:rsidTr="00774B58">
        <w:tc>
          <w:tcPr>
            <w:tcW w:w="2830" w:type="dxa"/>
          </w:tcPr>
          <w:p w14:paraId="09FA3B68" w14:textId="77777777"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выплата дохода</w:t>
            </w:r>
          </w:p>
        </w:tc>
        <w:tc>
          <w:tcPr>
            <w:tcW w:w="6663" w:type="dxa"/>
          </w:tcPr>
          <w:p w14:paraId="5FC5B269" w14:textId="6B426272"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порядок и срок выплаты программой не определя</w:t>
            </w:r>
            <w:r w:rsidR="005B27B7">
              <w:rPr>
                <w:rFonts w:asciiTheme="majorHAnsi" w:eastAsiaTheme="majorEastAsia" w:hAnsiTheme="majorHAnsi" w:cstheme="majorBidi"/>
                <w:iCs/>
                <w:sz w:val="20"/>
              </w:rPr>
              <w:t>ю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тся</w:t>
            </w:r>
            <w:r w:rsidR="000D7574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, </w:t>
            </w:r>
            <w:r w:rsidR="000D7574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т.е. устанавливаются в решении о выпуске</w:t>
            </w:r>
            <w:r w:rsidR="0066049F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 (если выплата будет предусмотрена)</w:t>
            </w:r>
          </w:p>
        </w:tc>
      </w:tr>
      <w:tr w:rsidR="009924C7" w:rsidRPr="00C77BAE" w14:paraId="3220ABCD" w14:textId="77777777" w:rsidTr="00774B58">
        <w:tc>
          <w:tcPr>
            <w:tcW w:w="2830" w:type="dxa"/>
          </w:tcPr>
          <w:p w14:paraId="2AE4AF39" w14:textId="77777777"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срок погашения</w:t>
            </w:r>
          </w:p>
        </w:tc>
        <w:tc>
          <w:tcPr>
            <w:tcW w:w="6663" w:type="dxa"/>
          </w:tcPr>
          <w:p w14:paraId="2222F513" w14:textId="77777777"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любой (в днях), в рамках максимального срока погашения</w:t>
            </w:r>
          </w:p>
        </w:tc>
      </w:tr>
      <w:tr w:rsidR="00B148AC" w:rsidRPr="00C77BAE" w14:paraId="0D3DF8D2" w14:textId="77777777" w:rsidTr="00774B58">
        <w:tc>
          <w:tcPr>
            <w:tcW w:w="2830" w:type="dxa"/>
          </w:tcPr>
          <w:p w14:paraId="2A6B9F68" w14:textId="77777777"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форма погашения</w:t>
            </w:r>
          </w:p>
        </w:tc>
        <w:tc>
          <w:tcPr>
            <w:tcW w:w="6663" w:type="dxa"/>
          </w:tcPr>
          <w:p w14:paraId="7DCF1AA4" w14:textId="77777777"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денежные средства</w:t>
            </w:r>
          </w:p>
        </w:tc>
      </w:tr>
      <w:tr w:rsidR="006A4E8C" w:rsidRPr="00C77BAE" w14:paraId="52BA3935" w14:textId="77777777" w:rsidTr="00774B58">
        <w:tc>
          <w:tcPr>
            <w:tcW w:w="2830" w:type="dxa"/>
          </w:tcPr>
          <w:p w14:paraId="1D7F51DB" w14:textId="77777777" w:rsidR="006A4E8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порядок и условия погашения</w:t>
            </w:r>
          </w:p>
        </w:tc>
        <w:tc>
          <w:tcPr>
            <w:tcW w:w="6663" w:type="dxa"/>
          </w:tcPr>
          <w:p w14:paraId="3873EF90" w14:textId="77777777" w:rsidR="006A4E8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программой не определяются, т.е. устанавливаются в решении о выпуске </w:t>
            </w:r>
          </w:p>
        </w:tc>
      </w:tr>
      <w:tr w:rsidR="009924C7" w:rsidRPr="00C77BAE" w14:paraId="3C61036D" w14:textId="77777777" w:rsidTr="00774B58">
        <w:tc>
          <w:tcPr>
            <w:tcW w:w="2830" w:type="dxa"/>
          </w:tcPr>
          <w:p w14:paraId="4D31948C" w14:textId="77777777"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 xml:space="preserve">досрочное погашение </w:t>
            </w:r>
          </w:p>
          <w:p w14:paraId="021CA717" w14:textId="77777777"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по усмотрению эмитента</w:t>
            </w:r>
          </w:p>
        </w:tc>
        <w:tc>
          <w:tcPr>
            <w:tcW w:w="6663" w:type="dxa"/>
          </w:tcPr>
          <w:p w14:paraId="2042C3DF" w14:textId="77777777"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предусмотрено (для всех выпусков), но конкретные случаи и способы устанавливаются в решении о выпуске</w:t>
            </w:r>
          </w:p>
        </w:tc>
      </w:tr>
      <w:tr w:rsidR="009924C7" w:rsidRPr="00C77BAE" w14:paraId="59C86D5F" w14:textId="77777777" w:rsidTr="00774B58">
        <w:tc>
          <w:tcPr>
            <w:tcW w:w="2830" w:type="dxa"/>
          </w:tcPr>
          <w:p w14:paraId="70CD4D07" w14:textId="77777777"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 xml:space="preserve">досрочное погашение </w:t>
            </w:r>
          </w:p>
          <w:p w14:paraId="0F10FCFB" w14:textId="77777777"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по требованию владельцев</w:t>
            </w:r>
          </w:p>
        </w:tc>
        <w:tc>
          <w:tcPr>
            <w:tcW w:w="6663" w:type="dxa"/>
          </w:tcPr>
          <w:p w14:paraId="19C5F158" w14:textId="77777777"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определяется, т.е. возможность может устанавливаться для отдельных выпусков и тогда конкретные случаи и способы устанавливаются в решении о выпуске</w:t>
            </w:r>
          </w:p>
        </w:tc>
      </w:tr>
      <w:tr w:rsidR="00B148AC" w:rsidRPr="00C77BAE" w14:paraId="2DADA584" w14:textId="77777777" w:rsidTr="00774B58">
        <w:tc>
          <w:tcPr>
            <w:tcW w:w="2830" w:type="dxa"/>
          </w:tcPr>
          <w:p w14:paraId="7918BC63" w14:textId="77777777"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порядок и условия досрочного погашения</w:t>
            </w:r>
          </w:p>
        </w:tc>
        <w:tc>
          <w:tcPr>
            <w:tcW w:w="6663" w:type="dxa"/>
          </w:tcPr>
          <w:p w14:paraId="45000ADD" w14:textId="77777777"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определяются, т.е. устанавливаются в решении о выпуске в зависимости от того, какое досрочное погашение предусмотрено</w:t>
            </w:r>
          </w:p>
        </w:tc>
      </w:tr>
      <w:tr w:rsidR="00B148AC" w:rsidRPr="00C77BAE" w14:paraId="58A9DD1F" w14:textId="77777777" w:rsidTr="00774B58">
        <w:tc>
          <w:tcPr>
            <w:tcW w:w="2830" w:type="dxa"/>
          </w:tcPr>
          <w:p w14:paraId="79B37BA3" w14:textId="77777777"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приобретение (выкуп) облигаций</w:t>
            </w:r>
          </w:p>
        </w:tc>
        <w:tc>
          <w:tcPr>
            <w:tcW w:w="6663" w:type="dxa"/>
          </w:tcPr>
          <w:p w14:paraId="759B0F60" w14:textId="77777777"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определяется, т.е. возможность (и по соглашению с владельцами, и по требованию владельцев) может устанавливаться для отдельных выпусков и тогда конкретные случаи и способы устанавливаются в решении о выпуске</w:t>
            </w:r>
          </w:p>
        </w:tc>
      </w:tr>
      <w:tr w:rsidR="00774B58" w:rsidRPr="00C77BAE" w14:paraId="4785E6F1" w14:textId="77777777" w:rsidTr="00052A75">
        <w:tc>
          <w:tcPr>
            <w:tcW w:w="2830" w:type="dxa"/>
          </w:tcPr>
          <w:p w14:paraId="0794C2DC" w14:textId="77777777" w:rsidR="00774B58" w:rsidRPr="00075CF9" w:rsidRDefault="00774B58" w:rsidP="00052A75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обеспечение</w:t>
            </w:r>
          </w:p>
        </w:tc>
        <w:tc>
          <w:tcPr>
            <w:tcW w:w="6663" w:type="dxa"/>
          </w:tcPr>
          <w:p w14:paraId="7104282B" w14:textId="77777777" w:rsidR="00774B58" w:rsidRPr="00C77BAE" w:rsidRDefault="00774B58" w:rsidP="00052A75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не предусмотрено (для всех выпусков)</w:t>
            </w:r>
          </w:p>
        </w:tc>
      </w:tr>
      <w:tr w:rsidR="00774B58" w:rsidRPr="00C77BAE" w14:paraId="63086BAA" w14:textId="77777777" w:rsidTr="00052A75">
        <w:tc>
          <w:tcPr>
            <w:tcW w:w="2830" w:type="dxa"/>
          </w:tcPr>
          <w:p w14:paraId="76F985FC" w14:textId="77777777" w:rsidR="00774B58" w:rsidRPr="00075CF9" w:rsidRDefault="00774B58" w:rsidP="00052A75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proofErr w:type="spellStart"/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спецусловия</w:t>
            </w:r>
            <w:proofErr w:type="spellEnd"/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 xml:space="preserve"> для зеленых и социальных облигаций</w:t>
            </w:r>
          </w:p>
        </w:tc>
        <w:tc>
          <w:tcPr>
            <w:tcW w:w="6663" w:type="dxa"/>
          </w:tcPr>
          <w:p w14:paraId="5D961DF7" w14:textId="77777777" w:rsidR="00774B58" w:rsidRPr="00C77BAE" w:rsidRDefault="000D7574" w:rsidP="00052A75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>
              <w:rPr>
                <w:rFonts w:asciiTheme="majorHAnsi" w:eastAsiaTheme="majorEastAsia" w:hAnsiTheme="majorHAnsi" w:cstheme="majorBidi"/>
                <w:iCs/>
                <w:sz w:val="20"/>
              </w:rPr>
              <w:t>п</w:t>
            </w:r>
            <w:r w:rsidR="004D2ADB">
              <w:rPr>
                <w:rFonts w:asciiTheme="majorHAnsi" w:eastAsiaTheme="majorEastAsia" w:hAnsiTheme="majorHAnsi" w:cstheme="majorBidi"/>
                <w:iCs/>
                <w:sz w:val="20"/>
              </w:rPr>
              <w:t>рограммой не определяется</w:t>
            </w:r>
            <w:r w:rsidR="00774B58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, т.е. в решении о выпуске могут указываться специфические характеристики, соответствующие требованиям к зеленым, социальным и прочим облигациям</w:t>
            </w:r>
          </w:p>
        </w:tc>
      </w:tr>
      <w:tr w:rsidR="00B148AC" w:rsidRPr="00C77BAE" w14:paraId="18149A3E" w14:textId="77777777" w:rsidTr="00774B58">
        <w:tc>
          <w:tcPr>
            <w:tcW w:w="2830" w:type="dxa"/>
          </w:tcPr>
          <w:p w14:paraId="551737EA" w14:textId="77777777"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платежный агент</w:t>
            </w:r>
          </w:p>
        </w:tc>
        <w:tc>
          <w:tcPr>
            <w:tcW w:w="6663" w:type="dxa"/>
          </w:tcPr>
          <w:p w14:paraId="76C90012" w14:textId="77777777"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определяется, т.е. может быть предусмотрен для отдельных выпусков</w:t>
            </w:r>
          </w:p>
        </w:tc>
      </w:tr>
      <w:tr w:rsidR="009924C7" w:rsidRPr="00C77BAE" w14:paraId="7E58B701" w14:textId="77777777" w:rsidTr="00774B58">
        <w:tc>
          <w:tcPr>
            <w:tcW w:w="2830" w:type="dxa"/>
          </w:tcPr>
          <w:p w14:paraId="696DFEFC" w14:textId="77777777"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регистрация проспекта</w:t>
            </w:r>
          </w:p>
        </w:tc>
        <w:tc>
          <w:tcPr>
            <w:tcW w:w="6663" w:type="dxa"/>
          </w:tcPr>
          <w:p w14:paraId="3BDBE7CF" w14:textId="77777777"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3B02E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определяется (может быть, может не быть)</w:t>
            </w:r>
          </w:p>
        </w:tc>
      </w:tr>
    </w:tbl>
    <w:p w14:paraId="2C719428" w14:textId="77777777" w:rsidR="003B02EE" w:rsidRPr="005B27B7" w:rsidRDefault="003B02EE" w:rsidP="005B27B7">
      <w:pPr>
        <w:spacing w:line="240" w:lineRule="auto"/>
        <w:rPr>
          <w:rFonts w:asciiTheme="majorHAnsi" w:eastAsiaTheme="majorEastAsia" w:hAnsiTheme="majorHAnsi" w:cstheme="majorBidi"/>
          <w:iCs/>
          <w:caps/>
          <w:sz w:val="18"/>
        </w:rPr>
      </w:pPr>
    </w:p>
    <w:sectPr w:rsidR="003B02EE" w:rsidRPr="005B27B7" w:rsidSect="005B27B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03C01"/>
    <w:multiLevelType w:val="hybridMultilevel"/>
    <w:tmpl w:val="71B6B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07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560"/>
    <w:rsid w:val="00075CF9"/>
    <w:rsid w:val="000D7574"/>
    <w:rsid w:val="001E3503"/>
    <w:rsid w:val="002556B8"/>
    <w:rsid w:val="003B02EE"/>
    <w:rsid w:val="004D2ADB"/>
    <w:rsid w:val="005B27B7"/>
    <w:rsid w:val="005E5B62"/>
    <w:rsid w:val="00637560"/>
    <w:rsid w:val="0066049F"/>
    <w:rsid w:val="00690BA7"/>
    <w:rsid w:val="006A4E8C"/>
    <w:rsid w:val="00712F29"/>
    <w:rsid w:val="00774B58"/>
    <w:rsid w:val="007D70DA"/>
    <w:rsid w:val="009924C7"/>
    <w:rsid w:val="009F5E5C"/>
    <w:rsid w:val="00A74413"/>
    <w:rsid w:val="00B148AC"/>
    <w:rsid w:val="00B776EF"/>
    <w:rsid w:val="00BC254C"/>
    <w:rsid w:val="00C77BAE"/>
    <w:rsid w:val="00E8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59724"/>
  <w15:chartTrackingRefBased/>
  <w15:docId w15:val="{63006173-BDA7-4688-877C-1EBF464D1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560"/>
    <w:pPr>
      <w:spacing w:after="0"/>
    </w:pPr>
    <w:rPr>
      <w:rFonts w:ascii="Times New Roman" w:hAnsi="Times New Roman"/>
    </w:rPr>
  </w:style>
  <w:style w:type="paragraph" w:styleId="3">
    <w:name w:val="heading 3"/>
    <w:basedOn w:val="a"/>
    <w:link w:val="30"/>
    <w:uiPriority w:val="9"/>
    <w:unhideWhenUsed/>
    <w:qFormat/>
    <w:rsid w:val="00637560"/>
    <w:pPr>
      <w:keepNext/>
      <w:keepLines/>
      <w:pBdr>
        <w:bottom w:val="single" w:sz="48" w:space="1" w:color="FF0508"/>
      </w:pBdr>
      <w:spacing w:before="600" w:after="160"/>
      <w:contextualSpacing/>
      <w:outlineLvl w:val="2"/>
    </w:pPr>
    <w:rPr>
      <w:rFonts w:asciiTheme="majorHAnsi" w:eastAsiaTheme="majorEastAsia" w:hAnsiTheme="majorHAnsi" w:cstheme="majorBidi"/>
      <w:b/>
      <w:cap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7560"/>
    <w:rPr>
      <w:rFonts w:asciiTheme="majorHAnsi" w:eastAsiaTheme="majorEastAsia" w:hAnsiTheme="majorHAnsi" w:cstheme="majorBidi"/>
      <w:b/>
      <w:caps/>
      <w:sz w:val="32"/>
      <w:szCs w:val="24"/>
    </w:rPr>
  </w:style>
  <w:style w:type="table" w:styleId="a3">
    <w:name w:val="Table Grid"/>
    <w:basedOn w:val="a1"/>
    <w:uiPriority w:val="39"/>
    <w:rsid w:val="00992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0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MOEX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Сулейманова Регина Эдуардовна</dc:creator>
  <cp:keywords/>
  <dc:description/>
  <cp:lastModifiedBy>Кузнецова Валентина Михайловна</cp:lastModifiedBy>
  <cp:revision>4</cp:revision>
  <dcterms:created xsi:type="dcterms:W3CDTF">2025-05-26T18:04:00Z</dcterms:created>
  <dcterms:modified xsi:type="dcterms:W3CDTF">2026-06-30T14:14:00Z</dcterms:modified>
</cp:coreProperties>
</file>